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B7" w:rsidRDefault="003C1B68"/>
    <w:p w:rsidR="00423B48" w:rsidRDefault="00423B48"/>
    <w:p w:rsidR="00423B48" w:rsidRDefault="00423B48"/>
    <w:p w:rsidR="00423B48" w:rsidRDefault="00423B48" w:rsidP="00423B4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Botox Pre-Treatment Instructions</w:t>
      </w:r>
    </w:p>
    <w:p w:rsidR="00423B48" w:rsidRDefault="00423B48" w:rsidP="00423B48">
      <w:pPr>
        <w:jc w:val="center"/>
        <w:rPr>
          <w:b/>
          <w:sz w:val="36"/>
          <w:szCs w:val="36"/>
        </w:rPr>
      </w:pPr>
    </w:p>
    <w:p w:rsidR="00423B48" w:rsidRDefault="00423B48" w:rsidP="00423B48">
      <w:pPr>
        <w:rPr>
          <w:sz w:val="28"/>
          <w:szCs w:val="28"/>
        </w:rPr>
      </w:pPr>
      <w:r w:rsidRPr="00423B48">
        <w:rPr>
          <w:sz w:val="28"/>
          <w:szCs w:val="28"/>
        </w:rPr>
        <w:t xml:space="preserve">In an ideal situation it is prudent to follow some simple guidelines before treatment that can make all the difference between a fair result </w:t>
      </w:r>
      <w:proofErr w:type="gramStart"/>
      <w:r w:rsidRPr="00423B48">
        <w:rPr>
          <w:sz w:val="28"/>
          <w:szCs w:val="28"/>
        </w:rPr>
        <w:t>or</w:t>
      </w:r>
      <w:proofErr w:type="gramEnd"/>
      <w:r w:rsidRPr="00423B48">
        <w:rPr>
          <w:sz w:val="28"/>
          <w:szCs w:val="28"/>
        </w:rPr>
        <w:t xml:space="preserve"> great result, by reducing some possible side effects associated with the injections.  We realize this is not always possible; however, minimizing these risks is always desirable.</w:t>
      </w:r>
    </w:p>
    <w:p w:rsidR="00423B48" w:rsidRDefault="00423B48" w:rsidP="00423B4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Patient must be in good health with no active skin infections in the areas to be treated.</w:t>
      </w:r>
    </w:p>
    <w:p w:rsidR="00423B48" w:rsidRDefault="00423B48" w:rsidP="00423B4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Patient should not be needle phobic.</w:t>
      </w:r>
    </w:p>
    <w:p w:rsidR="00423B48" w:rsidRDefault="00423B48" w:rsidP="00423B4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Avoid alcoholic beverages at least 24 hours prior to treatment.  Alcohol may thin the blood which will increase the risk of bruising. </w:t>
      </w:r>
    </w:p>
    <w:p w:rsidR="00423B48" w:rsidRDefault="00423B48" w:rsidP="00423B4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Avoid anti-inflammatory or blood thinning medications ideally, for a period of 2 weeks before treatment.  Medications and supplements such as Aspirin, Vitamin E, Ginkgo Biloba, St. John’s Wort, Ibuprofen, Motrin, Advil, Aleve, </w:t>
      </w:r>
      <w:proofErr w:type="spellStart"/>
      <w:r>
        <w:rPr>
          <w:sz w:val="28"/>
          <w:szCs w:val="28"/>
        </w:rPr>
        <w:t>Vioxx</w:t>
      </w:r>
      <w:proofErr w:type="spellEnd"/>
      <w:r>
        <w:rPr>
          <w:sz w:val="28"/>
          <w:szCs w:val="28"/>
        </w:rPr>
        <w:t>, and other NSAIDS are all blood thinning and can increase the risk of bruising/swelling after injections.</w:t>
      </w:r>
    </w:p>
    <w:p w:rsidR="00423B48" w:rsidRPr="00423B48" w:rsidRDefault="00423B48" w:rsidP="00423B4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Schedule Botox appointment at least 2 weeks prior to a special event which may be occurring, i.e. wedding, vacation, etc.  It is not desirable to have a very special event occurring and be bruised from an injection.</w:t>
      </w:r>
    </w:p>
    <w:sectPr w:rsidR="00423B48" w:rsidRPr="00423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87F6C"/>
    <w:multiLevelType w:val="hybridMultilevel"/>
    <w:tmpl w:val="365CF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40D3C"/>
    <w:multiLevelType w:val="hybridMultilevel"/>
    <w:tmpl w:val="C078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48"/>
    <w:rsid w:val="003C1B68"/>
    <w:rsid w:val="00423B48"/>
    <w:rsid w:val="007155B3"/>
    <w:rsid w:val="00AD5B83"/>
    <w:rsid w:val="00F2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Erskine</dc:creator>
  <cp:lastModifiedBy>FrontDesk</cp:lastModifiedBy>
  <cp:revision>2</cp:revision>
  <cp:lastPrinted>2019-12-10T13:02:00Z</cp:lastPrinted>
  <dcterms:created xsi:type="dcterms:W3CDTF">2019-11-12T16:25:00Z</dcterms:created>
  <dcterms:modified xsi:type="dcterms:W3CDTF">2019-12-10T13:03:00Z</dcterms:modified>
</cp:coreProperties>
</file>